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OnePC — Mô tả sản phẩm</w:t>
      </w:r>
    </w:p>
    <w:p>
      <w:r>
        <w:rPr>
          <w:b w:val="0"/>
          <w:i w:val="0"/>
        </w:rPr>
        <w:t>Phần mềm quản trị và vận hành cho doanh nghiệp siêu nhỏ Việt Nam. Bản MVP, tài liệu lập ngày 29/09/2026.</w:t>
      </w:r>
    </w:p>
    <w:p>
      <w:pPr>
        <w:jc w:val="center"/>
      </w:pPr>
      <w:r>
        <w:rPr>
          <w:color w:val="AAAAAA"/>
        </w:rPr>
        <w:t>────────────────────────</w:t>
      </w:r>
    </w:p>
    <w:p>
      <w:pPr>
        <w:pStyle w:val="Heading1"/>
      </w:pPr>
      <w:r>
        <w:t>1. OnePC là gì</w:t>
      </w:r>
    </w:p>
    <w:p>
      <w:r>
        <w:rPr>
          <w:b/>
          <w:i w:val="0"/>
        </w:rPr>
        <w:t>Một phần mềm duy nhất cho cả việc bán hàng và việc giữ sổ.</w:t>
      </w:r>
      <w:r>
        <w:rPr>
          <w:b w:val="0"/>
          <w:i w:val="0"/>
        </w:rPr>
        <w:t xml:space="preserve"> Khách mua trên website của cửa hàng hoặc mua tại quầy; cùng lúc đó phần mềm ghi kho, ghi công nợ, ghi quỹ, và dựng sẵn những tờ sổ mà cơ quan thuế sẽ hỏi.</w:t>
      </w:r>
    </w:p>
    <w:p>
      <w:r>
        <w:rPr>
          <w:b w:val="0"/>
          <w:i w:val="0"/>
        </w:rPr>
        <w:t xml:space="preserve">Điểm khác với phần lớn phần mềm cùng tầm giá: nó </w:t>
      </w:r>
      <w:r>
        <w:rPr>
          <w:b/>
          <w:i w:val="0"/>
        </w:rPr>
        <w:t>không dừng ở đơn hàng</w:t>
      </w:r>
      <w:r>
        <w:rPr>
          <w:b w:val="0"/>
          <w:i w:val="0"/>
        </w:rPr>
        <w:t>. Từ một lần bán, nó đi tiếp tới phiếu xuất kho, hoá đơn giá trị gia tăng, sổ quỹ, sổ công nợ, sổ doanh thu theo ngành nghề, và cuối cùng là hai tờ báo cáo tài chính theo mẫu Thông tư 58/2026/TT-BTC.</w:t>
      </w:r>
    </w:p>
    <w:p>
      <w:pPr>
        <w:jc w:val="center"/>
      </w:pPr>
      <w:r>
        <w:rPr>
          <w:color w:val="AAAAAA"/>
        </w:rPr>
        <w:t>────────────────────────</w:t>
      </w:r>
    </w:p>
    <w:p>
      <w:pPr>
        <w:pStyle w:val="Heading1"/>
      </w:pPr>
      <w:r>
        <w:t>2. Dành cho ai</w:t>
      </w:r>
    </w:p>
    <w:p>
      <w:r>
        <w:rPr>
          <w:b/>
          <w:i w:val="0"/>
        </w:rPr>
        <w:t>Phù hợp:</w:t>
      </w:r>
    </w:p>
    <w:p>
      <w:pPr>
        <w:pStyle w:val="ListBullet"/>
      </w:pPr>
      <w:r>
        <w:rPr>
          <w:b w:val="0"/>
          <w:i w:val="0"/>
        </w:rPr>
        <w:t>Hộ kinh doanh và cửa hàng bán lẻ có kho hàng thật.</w:t>
      </w:r>
    </w:p>
    <w:p>
      <w:pPr>
        <w:pStyle w:val="ListBullet"/>
      </w:pPr>
      <w:r>
        <w:rPr>
          <w:b w:val="0"/>
          <w:i w:val="0"/>
        </w:rPr>
        <w:t>Công ty dưới 10 người, có bán hàng và có nghĩa vụ giữ sổ kế toán.</w:t>
      </w:r>
    </w:p>
    <w:p>
      <w:pPr>
        <w:pStyle w:val="ListBullet"/>
      </w:pPr>
      <w:r>
        <w:rPr>
          <w:b w:val="0"/>
          <w:i w:val="0"/>
        </w:rPr>
        <w:t>Doanh nghiệp đang dùng Excel cộng sổ tay, và đã bắt đầu thấy ba câu hỏi sau không ai trả lời nổi.</w:t>
      </w:r>
    </w:p>
    <w:p>
      <w:r>
        <w:rPr>
          <w:b/>
          <w:i w:val="0"/>
        </w:rPr>
        <w:t>Ba câu hỏi ấy là phép thử xem doanh nghiệp đã cần OnePC chưa:</w:t>
      </w:r>
    </w:p>
    <w:p>
      <w:pPr>
        <w:pStyle w:val="ListNumber"/>
      </w:pPr>
      <w:r>
        <w:rPr>
          <w:b w:val="0"/>
          <w:i w:val="0"/>
        </w:rPr>
        <w:t>Lô hàng này mua của ai, giá bao nhiêu, đã trả tiền chưa?</w:t>
      </w:r>
    </w:p>
    <w:p>
      <w:pPr>
        <w:pStyle w:val="ListNumber"/>
      </w:pPr>
      <w:r>
        <w:rPr>
          <w:b w:val="0"/>
          <w:i w:val="0"/>
        </w:rPr>
        <w:t>Hôm nay khách nợ mình bao nhiêu, và bao nhiêu trong số đó đã tới hạn?</w:t>
      </w:r>
    </w:p>
    <w:p>
      <w:pPr>
        <w:pStyle w:val="ListNumber"/>
      </w:pPr>
      <w:r>
        <w:rPr>
          <w:b w:val="0"/>
          <w:i w:val="0"/>
        </w:rPr>
        <w:t>Tháng trước lãi hay lỗ — sau khi trừ giá vốn, không phải sau khi trừ tiền mặt đã chi?</w:t>
      </w:r>
    </w:p>
    <w:p>
      <w:r>
        <w:rPr>
          <w:b/>
          <w:i w:val="0"/>
        </w:rPr>
        <w:t>Chưa phù hợp:</w:t>
      </w:r>
      <w:r>
        <w:rPr>
          <w:b w:val="0"/>
          <w:i w:val="0"/>
        </w:rPr>
        <w:t xml:space="preserve"> doanh nghiệp sản xuất có tính giá thành nhiều công đoạn; chuỗi trên 10 điểm bán cần điều phối tồn kho theo thời gian thực; đơn vị cần kê khai thuế hộ kinh doanh trực tiếp từ phần mềm (xem mục 9).</w:t>
      </w:r>
    </w:p>
    <w:p>
      <w:pPr>
        <w:jc w:val="center"/>
      </w:pPr>
      <w:r>
        <w:rPr>
          <w:color w:val="AAAAAA"/>
        </w:rPr>
        <w:t>────────────────────────</w:t>
      </w:r>
    </w:p>
    <w:p>
      <w:pPr>
        <w:pStyle w:val="Heading1"/>
      </w:pPr>
      <w:r>
        <w:t>3. Phạm vi bản MVP</w:t>
      </w:r>
    </w:p>
    <w:p>
      <w:r>
        <w:rPr>
          <w:b w:val="0"/>
          <w:i w:val="0"/>
        </w:rPr>
        <w:t xml:space="preserve">Khu quản trị có </w:t>
      </w:r>
      <w:r>
        <w:rPr>
          <w:b/>
          <w:i w:val="0"/>
        </w:rPr>
        <w:t>52 màn hình chính, chia 8 nhóm</w:t>
      </w:r>
      <w:r>
        <w:rPr>
          <w:b w:val="0"/>
          <w:i w:val="0"/>
        </w:rPr>
        <w:t>. Đây là danh mục đầy đủ, không phải danh mục rút gọn.</w:t>
      </w:r>
    </w:p>
    <w:tbl>
      <w:tblPr>
        <w:tblStyle w:val="TableGrid"/>
        <w:tblW w:type="auto" w:w="0"/>
        <w:tblLook w:firstColumn="1" w:firstRow="1" w:lastColumn="0" w:lastRow="0" w:noHBand="0" w:noVBand="1" w:val="04A0"/>
      </w:tblPr>
      <w:tblGrid>
        <w:gridCol w:w="2880"/>
        <w:gridCol w:w="2880"/>
        <w:gridCol w:w="2880"/>
      </w:tblGrid>
      <w:tr>
        <w:tc>
          <w:tcPr>
            <w:tcW w:type="dxa" w:w="2880"/>
          </w:tcPr>
          <w:p>
            <w:pPr>
              <w:spacing w:after="40"/>
            </w:pPr>
            <w:r>
              <w:rPr>
                <w:b/>
              </w:rPr>
              <w:t>Nhóm</w:t>
            </w:r>
          </w:p>
        </w:tc>
        <w:tc>
          <w:tcPr>
            <w:tcW w:type="dxa" w:w="2880"/>
          </w:tcPr>
          <w:p>
            <w:pPr>
              <w:spacing w:after="40"/>
            </w:pPr>
            <w:r>
              <w:rPr>
                <w:b/>
              </w:rPr>
              <w:t>Số màn hình</w:t>
            </w:r>
          </w:p>
        </w:tc>
        <w:tc>
          <w:tcPr>
            <w:tcW w:type="dxa" w:w="2880"/>
          </w:tcPr>
          <w:p>
            <w:pPr>
              <w:spacing w:after="40"/>
            </w:pPr>
            <w:r>
              <w:rPr>
                <w:b/>
              </w:rPr>
              <w:t>Gồm</w:t>
            </w:r>
          </w:p>
        </w:tc>
      </w:tr>
      <w:tr>
        <w:tc>
          <w:tcPr>
            <w:tcW w:type="dxa" w:w="2880"/>
          </w:tcPr>
          <w:p>
            <w:pPr>
              <w:spacing w:after="40"/>
            </w:pPr>
            <w:r>
              <w:rPr>
                <w:b w:val="0"/>
                <w:i w:val="0"/>
              </w:rPr>
              <w:t>Sơ đồ điều hướng</w:t>
            </w:r>
          </w:p>
        </w:tc>
        <w:tc>
          <w:tcPr>
            <w:tcW w:type="dxa" w:w="2880"/>
          </w:tcPr>
          <w:p>
            <w:pPr>
              <w:spacing w:after="40"/>
            </w:pPr>
            <w:r>
              <w:rPr>
                <w:b w:val="0"/>
                <w:i w:val="0"/>
              </w:rPr>
              <w:t>4</w:t>
            </w:r>
          </w:p>
        </w:tc>
        <w:tc>
          <w:tcPr>
            <w:tcW w:type="dxa" w:w="2880"/>
          </w:tcPr>
          <w:p>
            <w:pPr>
              <w:spacing w:after="40"/>
            </w:pPr>
            <w:r>
              <w:rPr>
                <w:b w:val="0"/>
                <w:i w:val="0"/>
              </w:rPr>
              <w:t>Bảng điều khiển, Luồng bán hàng, Luồng mua hàng, Luồng kế toán</w:t>
            </w:r>
          </w:p>
        </w:tc>
      </w:tr>
      <w:tr>
        <w:tc>
          <w:tcPr>
            <w:tcW w:type="dxa" w:w="2880"/>
          </w:tcPr>
          <w:p>
            <w:pPr>
              <w:spacing w:after="40"/>
            </w:pPr>
            <w:r>
              <w:rPr>
                <w:b w:val="0"/>
                <w:i w:val="0"/>
              </w:rPr>
              <w:t>Hàng hoá</w:t>
            </w:r>
          </w:p>
        </w:tc>
        <w:tc>
          <w:tcPr>
            <w:tcW w:type="dxa" w:w="2880"/>
          </w:tcPr>
          <w:p>
            <w:pPr>
              <w:spacing w:after="40"/>
            </w:pPr>
            <w:r>
              <w:rPr>
                <w:b w:val="0"/>
                <w:i w:val="0"/>
              </w:rPr>
              <w:t>5</w:t>
            </w:r>
          </w:p>
        </w:tc>
        <w:tc>
          <w:tcPr>
            <w:tcW w:type="dxa" w:w="2880"/>
          </w:tcPr>
          <w:p>
            <w:pPr>
              <w:spacing w:after="40"/>
            </w:pPr>
            <w:r>
              <w:rPr>
                <w:b w:val="0"/>
                <w:i w:val="0"/>
              </w:rPr>
              <w:t>Sản phẩm, Danh mục sản phẩm, Nhãn hàng, Đơn vị tính, Thông số kỹ thuật</w:t>
            </w:r>
          </w:p>
        </w:tc>
      </w:tr>
      <w:tr>
        <w:tc>
          <w:tcPr>
            <w:tcW w:type="dxa" w:w="2880"/>
          </w:tcPr>
          <w:p>
            <w:pPr>
              <w:spacing w:after="40"/>
            </w:pPr>
            <w:r>
              <w:rPr>
                <w:b w:val="0"/>
                <w:i w:val="0"/>
              </w:rPr>
              <w:t>Mua hàng</w:t>
            </w:r>
          </w:p>
        </w:tc>
        <w:tc>
          <w:tcPr>
            <w:tcW w:type="dxa" w:w="2880"/>
          </w:tcPr>
          <w:p>
            <w:pPr>
              <w:spacing w:after="40"/>
            </w:pPr>
            <w:r>
              <w:rPr>
                <w:b w:val="0"/>
                <w:i w:val="0"/>
              </w:rPr>
              <w:t>4</w:t>
            </w:r>
          </w:p>
        </w:tc>
        <w:tc>
          <w:tcPr>
            <w:tcW w:type="dxa" w:w="2880"/>
          </w:tcPr>
          <w:p>
            <w:pPr>
              <w:spacing w:after="40"/>
            </w:pPr>
            <w:r>
              <w:rPr>
                <w:b w:val="0"/>
                <w:i w:val="0"/>
              </w:rPr>
              <w:t>Nhập hàng, Nhận hoá đơn, Nhà cung cấp, Quản lý kho</w:t>
            </w:r>
          </w:p>
        </w:tc>
      </w:tr>
      <w:tr>
        <w:tc>
          <w:tcPr>
            <w:tcW w:type="dxa" w:w="2880"/>
          </w:tcPr>
          <w:p>
            <w:pPr>
              <w:spacing w:after="40"/>
            </w:pPr>
            <w:r>
              <w:rPr>
                <w:b w:val="0"/>
                <w:i w:val="0"/>
              </w:rPr>
              <w:t>Bán hàng</w:t>
            </w:r>
          </w:p>
        </w:tc>
        <w:tc>
          <w:tcPr>
            <w:tcW w:type="dxa" w:w="2880"/>
          </w:tcPr>
          <w:p>
            <w:pPr>
              <w:spacing w:after="40"/>
            </w:pPr>
            <w:r>
              <w:rPr>
                <w:b w:val="0"/>
                <w:i w:val="0"/>
              </w:rPr>
              <w:t>5</w:t>
            </w:r>
          </w:p>
        </w:tc>
        <w:tc>
          <w:tcPr>
            <w:tcW w:type="dxa" w:w="2880"/>
          </w:tcPr>
          <w:p>
            <w:pPr>
              <w:spacing w:after="40"/>
            </w:pPr>
            <w:r>
              <w:rPr>
                <w:b w:val="0"/>
                <w:i w:val="0"/>
              </w:rPr>
              <w:t>Cửa hàng (website), Điểm bán tại quầy, Đơn hàng, Xuất hoá đơn, Khuyến mãi</w:t>
            </w:r>
          </w:p>
        </w:tc>
      </w:tr>
      <w:tr>
        <w:tc>
          <w:tcPr>
            <w:tcW w:type="dxa" w:w="2880"/>
          </w:tcPr>
          <w:p>
            <w:pPr>
              <w:spacing w:after="40"/>
            </w:pPr>
            <w:r>
              <w:rPr>
                <w:b w:val="0"/>
                <w:i w:val="0"/>
              </w:rPr>
              <w:t>Khách hàng</w:t>
            </w:r>
          </w:p>
        </w:tc>
        <w:tc>
          <w:tcPr>
            <w:tcW w:type="dxa" w:w="2880"/>
          </w:tcPr>
          <w:p>
            <w:pPr>
              <w:spacing w:after="40"/>
            </w:pPr>
            <w:r>
              <w:rPr>
                <w:b w:val="0"/>
                <w:i w:val="0"/>
              </w:rPr>
              <w:t>3</w:t>
            </w:r>
          </w:p>
        </w:tc>
        <w:tc>
          <w:tcPr>
            <w:tcW w:type="dxa" w:w="2880"/>
          </w:tcPr>
          <w:p>
            <w:pPr>
              <w:spacing w:after="40"/>
            </w:pPr>
            <w:r>
              <w:rPr>
                <w:b w:val="0"/>
                <w:i w:val="0"/>
              </w:rPr>
              <w:t>Khách đăng ký, Khách mua hàng (CRM), Bảo hành</w:t>
            </w:r>
          </w:p>
        </w:tc>
      </w:tr>
      <w:tr>
        <w:tc>
          <w:tcPr>
            <w:tcW w:type="dxa" w:w="2880"/>
          </w:tcPr>
          <w:p>
            <w:pPr>
              <w:spacing w:after="40"/>
            </w:pPr>
            <w:r>
              <w:rPr>
                <w:b w:val="0"/>
                <w:i w:val="0"/>
              </w:rPr>
              <w:t>Kế toán</w:t>
            </w:r>
          </w:p>
        </w:tc>
        <w:tc>
          <w:tcPr>
            <w:tcW w:type="dxa" w:w="2880"/>
          </w:tcPr>
          <w:p>
            <w:pPr>
              <w:spacing w:after="40"/>
            </w:pPr>
            <w:r>
              <w:rPr>
                <w:b w:val="0"/>
                <w:i w:val="0"/>
              </w:rPr>
              <w:t>10</w:t>
            </w:r>
          </w:p>
        </w:tc>
        <w:tc>
          <w:tcPr>
            <w:tcW w:type="dxa" w:w="2880"/>
          </w:tcPr>
          <w:p>
            <w:pPr>
              <w:spacing w:after="40"/>
            </w:pPr>
            <w:r>
              <w:rPr>
                <w:b w:val="0"/>
                <w:i w:val="0"/>
              </w:rPr>
              <w:t>Sổ quỹ, Công nợ, Chứng từ bán, Chứng từ mua, Bảng kê thu mua, Số dư đầu kỳ, Tài sản &amp; vốn, Nghĩa vụ thuế khác, Khoá sổ, Báo cáo</w:t>
            </w:r>
          </w:p>
        </w:tc>
      </w:tr>
      <w:tr>
        <w:tc>
          <w:tcPr>
            <w:tcW w:type="dxa" w:w="2880"/>
          </w:tcPr>
          <w:p>
            <w:pPr>
              <w:spacing w:after="40"/>
            </w:pPr>
            <w:r>
              <w:rPr>
                <w:b w:val="0"/>
                <w:i w:val="0"/>
              </w:rPr>
              <w:t>Danh mục</w:t>
            </w:r>
          </w:p>
        </w:tc>
        <w:tc>
          <w:tcPr>
            <w:tcW w:type="dxa" w:w="2880"/>
          </w:tcPr>
          <w:p>
            <w:pPr>
              <w:spacing w:after="40"/>
            </w:pPr>
            <w:r>
              <w:rPr>
                <w:b w:val="0"/>
                <w:i w:val="0"/>
              </w:rPr>
              <w:t>10</w:t>
            </w:r>
          </w:p>
        </w:tc>
        <w:tc>
          <w:tcPr>
            <w:tcW w:type="dxa" w:w="2880"/>
          </w:tcPr>
          <w:p>
            <w:pPr>
              <w:spacing w:after="40"/>
            </w:pPr>
            <w:r>
              <w:rPr>
                <w:b w:val="0"/>
                <w:i w:val="0"/>
              </w:rPr>
              <w:t>Kho, Nhóm vật tư HHDV, Nhóm ngành nghề, Khoản mục chi phí, Điều khoản thanh toán, Kênh bán hàng, Nhóm khách hàng, và ba biểu thuế (TTĐB, tài nguyên, TNCN)</w:t>
            </w:r>
          </w:p>
        </w:tc>
      </w:tr>
      <w:tr>
        <w:tc>
          <w:tcPr>
            <w:tcW w:type="dxa" w:w="2880"/>
          </w:tcPr>
          <w:p>
            <w:pPr>
              <w:spacing w:after="40"/>
            </w:pPr>
            <w:r>
              <w:rPr>
                <w:b w:val="0"/>
                <w:i w:val="0"/>
              </w:rPr>
              <w:t>Quản trị</w:t>
            </w:r>
          </w:p>
        </w:tc>
        <w:tc>
          <w:tcPr>
            <w:tcW w:type="dxa" w:w="2880"/>
          </w:tcPr>
          <w:p>
            <w:pPr>
              <w:spacing w:after="40"/>
            </w:pPr>
            <w:r>
              <w:rPr>
                <w:b w:val="0"/>
                <w:i w:val="0"/>
              </w:rPr>
              <w:t>11</w:t>
            </w:r>
          </w:p>
        </w:tc>
        <w:tc>
          <w:tcPr>
            <w:tcW w:type="dxa" w:w="2880"/>
          </w:tcPr>
          <w:p>
            <w:pPr>
              <w:spacing w:after="40"/>
            </w:pPr>
            <w:r>
              <w:rPr>
                <w:b w:val="0"/>
                <w:i w:val="0"/>
              </w:rPr>
              <w:t>Cài đặt cửa hàng, Thông tin công ty, Chế độ kế toán, Cơ cấu tổ chức, Nhân viên, Tài khoản ngân hàng, Kết nối hoá đơn điện tử, Quản lý ca, Tin tức, Xuất dữ liệu, Nhật ký cấu hình</w:t>
            </w:r>
          </w:p>
        </w:tc>
      </w:tr>
    </w:tbl>
    <w:p/>
    <w:p>
      <w:r>
        <w:rPr>
          <w:b/>
          <w:i w:val="0"/>
        </w:rPr>
        <w:t>Website bán hàng đi kèm</w:t>
      </w:r>
      <w:r>
        <w:rPr>
          <w:b w:val="0"/>
          <w:i w:val="0"/>
        </w:rPr>
        <w:t>, không phải mua thêm: trang chủ, danh sách và chi tiết sản phẩm, trang khuyến mãi, tin tức, trang nội dung tự khai, giỏ hàng, thanh toán, và khu tài khoản khách (đăng ký, đăng nhập, xem đơn đã đặt).</w:t>
      </w:r>
    </w:p>
    <w:p>
      <w:pPr>
        <w:jc w:val="center"/>
      </w:pPr>
      <w:r>
        <w:rPr>
          <w:color w:val="AAAAAA"/>
        </w:rPr>
        <w:t>────────────────────────</w:t>
      </w:r>
    </w:p>
    <w:p>
      <w:pPr>
        <w:pStyle w:val="Heading1"/>
      </w:pPr>
      <w:r>
        <w:t>4. Ba luồng nghiệp vụ</w:t>
      </w:r>
    </w:p>
    <w:p>
      <w:r>
        <w:rPr>
          <w:b w:val="0"/>
          <w:i w:val="0"/>
        </w:rPr>
        <w:t>Phần mềm có ba sơ đồ bấm được, mỗi sơ đồ là một đường đi thật của chứng từ. Bấm vào ô nào mở đúng màn hình của bước đó, kèm con số việc đang tồn.</w:t>
      </w:r>
    </w:p>
    <w:p>
      <w:r>
        <w:rPr>
          <w:b/>
          <w:i w:val="0"/>
        </w:rPr>
        <w:t>Luồng bán hàng</w:t>
      </w:r>
    </w:p>
    <w:p>
      <w:pPr>
        <w:spacing w:after="200"/>
        <w:ind w:left="240"/>
      </w:pPr>
      <w:r>
        <w:rPr>
          <w:rFonts w:ascii="Consolas" w:hAnsi="Consolas"/>
          <w:sz w:val="17"/>
        </w:rPr>
        <w:t>Đơn hàng → Chờ xử lý → Đang xử lý → Đang giao → ĐÃ GIAO</w:t>
        <w:br/>
        <w:t xml:space="preserve">                                                   │</w:t>
        <w:br/>
        <w:t xml:space="preserve">                     ┌─────────────────────────────┼──────────────────────┐</w:t>
        <w:br/>
        <w:t xml:space="preserve">              Phiếu xuất kho                 Xuất hoá đơn              Thu tiền</w:t>
        <w:br/>
        <w:t xml:space="preserve">            (kiêm phiếu bảo hành)          (chứng từ bán)      (sổ quỹ ‖ công nợ)</w:t>
      </w:r>
    </w:p>
    <w:p>
      <w:r>
        <w:rPr>
          <w:b/>
          <w:i w:val="0"/>
        </w:rPr>
        <w:t>Luồng mua hàng</w:t>
      </w:r>
    </w:p>
    <w:p>
      <w:pPr>
        <w:spacing w:after="200"/>
        <w:ind w:left="240"/>
      </w:pPr>
      <w:r>
        <w:rPr>
          <w:rFonts w:ascii="Consolas" w:hAnsi="Consolas"/>
          <w:sz w:val="17"/>
        </w:rPr>
        <w:t>Phiếu nhập → Nháp → Đã đặt NCC → ĐÃ NHẬP KHO</w:t>
        <w:br/>
        <w:t xml:space="preserve">                                      │</w:t>
        <w:br/>
        <w:t xml:space="preserve">                ┌─────────────────────┼────────────────────┐</w:t>
        <w:br/>
        <w:t xml:space="preserve">           Nhập kho              Nhận hoá đơn           Trả tiền</w:t>
        <w:br/>
        <w:t xml:space="preserve">        (kho + sổ kho)          (chứng từ mua)  (sổ quỹ ‖ công nợ phải trả)</w:t>
      </w:r>
    </w:p>
    <w:p>
      <w:r>
        <w:rPr>
          <w:b/>
          <w:i w:val="0"/>
        </w:rPr>
        <w:t>Luồng kế toán</w:t>
      </w:r>
      <w:r>
        <w:rPr>
          <w:b w:val="0"/>
          <w:i w:val="0"/>
        </w:rPr>
        <w:t xml:space="preserve"> nối hai luồng trên với bộ sổ: chứng từ → sổ chi tiết → tờ khai → báo cáo tài chính.</w:t>
      </w:r>
    </w:p>
    <w:p>
      <w:r>
        <w:rPr>
          <w:b w:val="0"/>
          <w:i w:val="0"/>
        </w:rPr>
        <w:t xml:space="preserve">Điểm quan trọng của thiết kế: </w:t>
      </w:r>
      <w:r>
        <w:rPr>
          <w:b/>
          <w:i w:val="0"/>
        </w:rPr>
        <w:t>mốc ghi sổ là "đã giao" và "đã nhập kho", không phải ngày lập chứng từ.</w:t>
      </w:r>
      <w:r>
        <w:rPr>
          <w:b w:val="0"/>
          <w:i w:val="0"/>
        </w:rPr>
        <w:t xml:space="preserve"> Đơn đặt hôm nay giao tuần sau thì doanh thu thuộc tuần sau — đúng nguyên tắc kế toán, và đó là thứ khiến số trên phần mềm khớp được với số kế toán tự cộng tay.</w:t>
      </w:r>
    </w:p>
    <w:p>
      <w:pPr>
        <w:jc w:val="center"/>
      </w:pPr>
      <w:r>
        <w:rPr>
          <w:color w:val="AAAAAA"/>
        </w:rPr>
        <w:t>────────────────────────</w:t>
      </w:r>
    </w:p>
    <w:p>
      <w:pPr>
        <w:pStyle w:val="Heading1"/>
      </w:pPr>
      <w:r>
        <w:t>5. Sổ sách và tuân thủ</w:t>
      </w:r>
    </w:p>
    <w:p>
      <w:pPr>
        <w:pStyle w:val="Heading2"/>
      </w:pPr>
      <w:r>
        <w:t>Chế độ kế toán quyết định bộ sổ</w:t>
      </w:r>
    </w:p>
    <w:p>
      <w:r>
        <w:rPr>
          <w:b w:val="0"/>
          <w:i w:val="0"/>
        </w:rPr>
        <w:t xml:space="preserve">Doanh nghiệp khai hai điều: nộp thuế GTGT theo cách nào, và nộp thuế TNDN theo cách nào. Hai câu trả lời ra một trong bốn chế độ, và </w:t>
      </w:r>
      <w:r>
        <w:rPr>
          <w:b/>
          <w:i w:val="0"/>
        </w:rPr>
        <w:t>mỗi chế độ mở một bộ sổ khác nhau</w:t>
      </w:r>
      <w:r>
        <w:rPr>
          <w:b w:val="0"/>
          <w:i w:val="0"/>
        </w:rPr>
        <w:t>:</w:t>
      </w:r>
    </w:p>
    <w:tbl>
      <w:tblPr>
        <w:tblStyle w:val="TableGrid"/>
        <w:tblW w:type="auto" w:w="0"/>
        <w:tblLook w:firstColumn="1" w:firstRow="1" w:lastColumn="0" w:lastRow="0" w:noHBand="0" w:noVBand="1" w:val="04A0"/>
      </w:tblPr>
      <w:tblGrid>
        <w:gridCol w:w="2880"/>
        <w:gridCol w:w="2880"/>
        <w:gridCol w:w="2880"/>
      </w:tblGrid>
      <w:tr>
        <w:tc>
          <w:tcPr>
            <w:tcW w:type="dxa" w:w="2880"/>
          </w:tcPr>
          <w:p>
            <w:pPr>
              <w:spacing w:after="40"/>
            </w:pPr>
            <w:r>
              <w:rPr>
                <w:b/>
              </w:rPr>
            </w:r>
          </w:p>
        </w:tc>
        <w:tc>
          <w:tcPr>
            <w:tcW w:type="dxa" w:w="2880"/>
          </w:tcPr>
          <w:p>
            <w:pPr>
              <w:spacing w:after="40"/>
            </w:pPr>
            <w:r>
              <w:rPr>
                <w:b/>
              </w:rPr>
              <w:t>GTGT khấu trừ</w:t>
            </w:r>
          </w:p>
        </w:tc>
        <w:tc>
          <w:tcPr>
            <w:tcW w:type="dxa" w:w="2880"/>
          </w:tcPr>
          <w:p>
            <w:pPr>
              <w:spacing w:after="40"/>
            </w:pPr>
            <w:r>
              <w:rPr>
                <w:b/>
              </w:rPr>
              <w:t>GTGT trực tiếp (%)</w:t>
            </w:r>
          </w:p>
        </w:tc>
      </w:tr>
      <w:tr>
        <w:tc>
          <w:tcPr>
            <w:tcW w:type="dxa" w:w="2880"/>
          </w:tcPr>
          <w:p>
            <w:pPr>
              <w:spacing w:after="40"/>
            </w:pPr>
            <w:r>
              <w:rPr>
                <w:b/>
                <w:i w:val="0"/>
              </w:rPr>
              <w:t>TNDN theo thu nhập</w:t>
            </w:r>
          </w:p>
        </w:tc>
        <w:tc>
          <w:tcPr>
            <w:tcW w:type="dxa" w:w="2880"/>
          </w:tcPr>
          <w:p>
            <w:pPr>
              <w:spacing w:after="40"/>
            </w:pPr>
            <w:r>
              <w:rPr>
                <w:b w:val="0"/>
                <w:i w:val="0"/>
              </w:rPr>
              <w:t>Điều 5 → sổ S1</w:t>
            </w:r>
          </w:p>
        </w:tc>
        <w:tc>
          <w:tcPr>
            <w:tcW w:type="dxa" w:w="2880"/>
          </w:tcPr>
          <w:p>
            <w:pPr>
              <w:spacing w:after="40"/>
            </w:pPr>
            <w:r>
              <w:rPr>
                <w:b w:val="0"/>
                <w:i w:val="0"/>
              </w:rPr>
              <w:t>Điều 6 → sổ S2a–S2d</w:t>
            </w:r>
          </w:p>
        </w:tc>
      </w:tr>
      <w:tr>
        <w:tc>
          <w:tcPr>
            <w:tcW w:type="dxa" w:w="2880"/>
          </w:tcPr>
          <w:p>
            <w:pPr>
              <w:spacing w:after="40"/>
            </w:pPr>
            <w:r>
              <w:rPr>
                <w:b/>
                <w:i w:val="0"/>
              </w:rPr>
              <w:t>TNDN theo tỷ lệ (%)</w:t>
            </w:r>
          </w:p>
        </w:tc>
        <w:tc>
          <w:tcPr>
            <w:tcW w:type="dxa" w:w="2880"/>
          </w:tcPr>
          <w:p>
            <w:pPr>
              <w:spacing w:after="40"/>
            </w:pPr>
            <w:r>
              <w:rPr>
                <w:b w:val="0"/>
                <w:i w:val="0"/>
              </w:rPr>
              <w:t>Điều 7 → sổ S3a, S3b</w:t>
            </w:r>
          </w:p>
        </w:tc>
        <w:tc>
          <w:tcPr>
            <w:tcW w:type="dxa" w:w="2880"/>
          </w:tcPr>
          <w:p>
            <w:pPr>
              <w:spacing w:after="40"/>
            </w:pPr>
            <w:r>
              <w:rPr>
                <w:b w:val="0"/>
                <w:i w:val="0"/>
              </w:rPr>
              <w:t>Điều 8 → sổ S2b–S2d, S3b</w:t>
            </w:r>
          </w:p>
        </w:tc>
      </w:tr>
    </w:tbl>
    <w:p/>
    <w:p>
      <w:r>
        <w:rPr>
          <w:b w:val="0"/>
          <w:i w:val="0"/>
        </w:rPr>
        <w:t xml:space="preserve">Khai xong, phần mềm </w:t>
      </w:r>
      <w:r>
        <w:rPr>
          <w:b/>
          <w:i w:val="0"/>
        </w:rPr>
        <w:t>chỉ bày những tờ sổ thuộc chế độ đang áp dụng</w:t>
      </w:r>
      <w:r>
        <w:rPr>
          <w:b w:val="0"/>
          <w:i w:val="0"/>
        </w:rPr>
        <w:t>. Mỗi lần đổi chế độ để lại một dòng lịch sử — chế độ áp dụng cho kỳ nào là dữ kiện kế toán, không phải một tuỳ chọn hiện tại.</w:t>
      </w:r>
    </w:p>
    <w:p>
      <w:pPr>
        <w:pStyle w:val="Heading2"/>
      </w:pPr>
      <w:r>
        <w:t>Mười ba tờ sổ và báo cáo</w:t>
      </w:r>
    </w:p>
    <w:p>
      <w:r>
        <w:rPr>
          <w:b w:val="0"/>
          <w:i w:val="0"/>
        </w:rPr>
        <w:t xml:space="preserve">S1 (doanh thu) · S2a (doanh thu) · S2b (doanh thu, chi phí) · S2c (vật tư, hàng hoá) · S2d (tiền) · S3a (doanh thu theo ngành nghề) · S3b (thuế GTGT) · S4a (công nợ) · S4b (tài sản) · S4c (thuế khác) · S4d (vốn) · </w:t>
      </w:r>
      <w:r>
        <w:rPr>
          <w:b/>
          <w:i w:val="0"/>
        </w:rPr>
        <w:t>B01</w:t>
      </w:r>
      <w:r>
        <w:rPr>
          <w:b w:val="0"/>
          <w:i w:val="0"/>
        </w:rPr>
        <w:t xml:space="preserve"> (tình hình tài chính) · </w:t>
      </w:r>
      <w:r>
        <w:rPr>
          <w:b/>
          <w:i w:val="0"/>
        </w:rPr>
        <w:t>B02</w:t>
      </w:r>
      <w:r>
        <w:rPr>
          <w:b w:val="0"/>
          <w:i w:val="0"/>
        </w:rPr>
        <w:t xml:space="preserve"> (kết quả kinh doanh).</w:t>
      </w:r>
    </w:p>
    <w:p>
      <w:r>
        <w:rPr>
          <w:b w:val="0"/>
          <w:i w:val="0"/>
        </w:rPr>
        <w:t>Mỗi tờ có bản xem trên màn hình, bản in khổ giấy, và bản xuất Excel. Bản in và bản màn hình đọc cùng một bộ tham số, nên hai tờ không bao giờ lệch kỳ.</w:t>
      </w:r>
    </w:p>
    <w:p>
      <w:pPr>
        <w:pStyle w:val="Heading2"/>
      </w:pPr>
      <w:r>
        <w:t>Hoá đơn điện tử</w:t>
      </w:r>
    </w:p>
    <w:p>
      <w:r>
        <w:rPr>
          <w:b w:val="0"/>
          <w:i w:val="0"/>
        </w:rPr>
        <w:t xml:space="preserve">Luồng: đơn đã giao → phần mềm </w:t>
      </w:r>
      <w:r>
        <w:rPr>
          <w:b/>
          <w:i w:val="0"/>
        </w:rPr>
        <w:t>dựng nháp hoá đơn tự động</w:t>
      </w:r>
      <w:r>
        <w:rPr>
          <w:b w:val="0"/>
          <w:i w:val="0"/>
        </w:rPr>
        <w:t xml:space="preserve"> → kế toán soát → phát hành → (nếu sai) huỷ và lập lại. Hoá đơn đã phát hành là bất biến; huỷ là một chứng từ riêng, không phải một lệnh xoá.</w:t>
      </w:r>
    </w:p>
    <w:p>
      <w:r>
        <w:rPr>
          <w:b w:val="0"/>
          <w:i w:val="0"/>
        </w:rPr>
        <w:t xml:space="preserve">Có màn hình </w:t>
      </w:r>
      <w:r>
        <w:rPr>
          <w:b w:val="0"/>
          <w:i/>
        </w:rPr>
        <w:t>"hoá đơn cần chú ý"</w:t>
      </w:r>
      <w:r>
        <w:rPr>
          <w:b w:val="0"/>
          <w:i w:val="0"/>
        </w:rPr>
        <w:t>: đơn đã giao mà chưa có hoá đơn, nháp quá hạn.</w:t>
      </w:r>
    </w:p>
    <w:p>
      <w:r>
        <w:rPr>
          <w:b w:val="0"/>
          <w:i w:val="0"/>
        </w:rPr>
        <w:t>Kết nối nhà cung cấp hoá đơn điện tử (MISA meInvoice) đã có sẵn đường nối. Xem giới hạn ở mục 9.</w:t>
      </w:r>
    </w:p>
    <w:p>
      <w:pPr>
        <w:pStyle w:val="Heading2"/>
      </w:pPr>
      <w:r>
        <w:t>Khoá sổ</w:t>
      </w:r>
    </w:p>
    <w:p>
      <w:r>
        <w:rPr>
          <w:b w:val="0"/>
          <w:i w:val="0"/>
        </w:rPr>
        <w:t xml:space="preserve">Chốt một ngày, và từ ngày đó trở về trước </w:t>
      </w:r>
      <w:r>
        <w:rPr>
          <w:b/>
          <w:i w:val="0"/>
        </w:rPr>
        <w:t>không ai sửa được chứng từ nữa</w:t>
      </w:r>
      <w:r>
        <w:rPr>
          <w:b w:val="0"/>
          <w:i w:val="0"/>
        </w:rPr>
        <w:t xml:space="preserve"> — phiếu quỹ, kiểm kê quỹ, vốn chủ sở hữu, nghĩa vụ thuế, số dư đầu kỳ, đơn đã giao và phiếu nhập đã nhập kho. Đẩy ngày khoá lên cần quyền kế toán; </w:t>
      </w:r>
      <w:r>
        <w:rPr>
          <w:b/>
          <w:i w:val="0"/>
        </w:rPr>
        <w:t>dời lùi hoặc gỡ khoá cần quyền cao hơn</w:t>
      </w:r>
      <w:r>
        <w:rPr>
          <w:b w:val="0"/>
          <w:i w:val="0"/>
        </w:rPr>
        <w:t xml:space="preserve"> và để lại vết.</w:t>
      </w:r>
    </w:p>
    <w:p>
      <w:r>
        <w:rPr>
          <w:b w:val="0"/>
          <w:i w:val="0"/>
        </w:rPr>
        <w:t xml:space="preserve">Màn hình khoá sổ in cả danh sách những thứ </w:t>
      </w:r>
      <w:r>
        <w:rPr>
          <w:b/>
          <w:i w:val="0"/>
        </w:rPr>
        <w:t>không</w:t>
      </w:r>
      <w:r>
        <w:rPr>
          <w:b w:val="0"/>
          <w:i w:val="0"/>
        </w:rPr>
        <w:t xml:space="preserve"> bị khoá, để kế toán biết mình còn sửa được gì.</w:t>
      </w:r>
    </w:p>
    <w:p>
      <w:pPr>
        <w:jc w:val="center"/>
      </w:pPr>
      <w:r>
        <w:rPr>
          <w:color w:val="AAAAAA"/>
        </w:rPr>
        <w:t>────────────────────────</w:t>
      </w:r>
    </w:p>
    <w:p>
      <w:pPr>
        <w:pStyle w:val="Heading1"/>
      </w:pPr>
      <w:r>
        <w:t>6. Phân quyền</w:t>
      </w:r>
    </w:p>
    <w:p>
      <w:r>
        <w:rPr>
          <w:b w:val="0"/>
          <w:i w:val="0"/>
        </w:rPr>
        <w:t xml:space="preserve">Mỗi nhân viên nhận một tập khoá, </w:t>
      </w:r>
      <w:r>
        <w:rPr>
          <w:b/>
          <w:i w:val="0"/>
        </w:rPr>
        <w:t>15 khoá cho 15 khu vực</w:t>
      </w:r>
      <w:r>
        <w:rPr>
          <w:b w:val="0"/>
          <w:i w:val="0"/>
        </w:rPr>
        <w:t>: hàng hoá · nhập sản phẩm bằng AI · kho · đơn hàng · bán tại quầy · khách hàng · sổ liên hệ · nhà cung cấp · nhập hàng · khuyến mãi · sổ quỹ · nội dung website · cài đặt cửa hàng · mật khẩu và khoá API · nhân viên và phân quyền.</w:t>
      </w:r>
    </w:p>
    <w:p>
      <w:r>
        <w:rPr>
          <w:b w:val="0"/>
          <w:i w:val="0"/>
        </w:rPr>
        <w:t xml:space="preserve">Số lượng ấy không phải để trang trí: mỗi lần tách thêm một khoá là một lần có người </w:t>
      </w:r>
      <w:r>
        <w:rPr>
          <w:b/>
          <w:i w:val="0"/>
        </w:rPr>
        <w:t>cần làm được việc A mà không được làm việc B</w:t>
      </w:r>
      <w:r>
        <w:rPr>
          <w:b w:val="0"/>
          <w:i w:val="0"/>
        </w:rPr>
        <w:t>. Thu ngân bán được hàng nhưng không sửa được mọi cột của đơn; người lập phiếu nhập không nhất thiết được sửa danh mục nhà cung cấp; mật khẩu hộp thư không cùng hạng với logo cửa hàng.</w:t>
      </w:r>
    </w:p>
    <w:p>
      <w:r>
        <w:rPr>
          <w:b/>
          <w:i w:val="0"/>
        </w:rPr>
        <w:t>Chốt chặn nằm ở tầng dữ liệu, không ở nút bấm.</w:t>
      </w:r>
      <w:r>
        <w:rPr>
          <w:b w:val="0"/>
          <w:i w:val="0"/>
        </w:rPr>
        <w:t xml:space="preserve"> Ẩn một nút chỉ làm giao diện gọn hơn; quyền thật do máy chủ dữ liệu từ chối. Đây là khác biệt quan trọng khi doanh nghiệp giao tài khoản cho nhân viên thời vụ.</w:t>
      </w:r>
    </w:p>
    <w:p>
      <w:pPr>
        <w:jc w:val="center"/>
      </w:pPr>
      <w:r>
        <w:rPr>
          <w:color w:val="AAAAAA"/>
        </w:rPr>
        <w:t>────────────────────────</w:t>
      </w:r>
    </w:p>
    <w:p>
      <w:pPr>
        <w:pStyle w:val="Heading1"/>
      </w:pPr>
      <w:r>
        <w:t>7. Dữ liệu là của doanh nghiệp</w:t>
      </w:r>
    </w:p>
    <w:p>
      <w:pPr>
        <w:pStyle w:val="ListBullet"/>
      </w:pPr>
      <w:r>
        <w:rPr>
          <w:b/>
          <w:i w:val="0"/>
        </w:rPr>
        <w:t>Xuất toàn bộ dữ liệu</w:t>
      </w:r>
      <w:r>
        <w:rPr>
          <w:b w:val="0"/>
          <w:i w:val="0"/>
        </w:rPr>
        <w:t xml:space="preserve"> bằng một cú bấm: hơn 60 bảng, mỗi bảng một khoá trong tệp, mỗi dòng nguyên trạng. Không có tình trạng "muốn lấy dữ liệu ra thì hỏi nhà cung cấp phần mềm".</w:t>
      </w:r>
    </w:p>
    <w:p>
      <w:pPr>
        <w:pStyle w:val="ListBullet"/>
      </w:pPr>
      <w:r>
        <w:rPr>
          <w:b/>
          <w:i w:val="0"/>
        </w:rPr>
        <w:t>Nhật ký thay đổi cấu hình</w:t>
      </w:r>
      <w:r>
        <w:rPr>
          <w:b w:val="0"/>
          <w:i w:val="0"/>
        </w:rPr>
        <w:t>: ai đổi mã số thuế, ai cấp quyền cho ai, ai đổi giá mặt hàng nào — ghi theo từng cột đã đổi, kèm người và thời điểm.</w:t>
      </w:r>
    </w:p>
    <w:p>
      <w:pPr>
        <w:pStyle w:val="ListBullet"/>
      </w:pPr>
      <w:r>
        <w:rPr>
          <w:b/>
          <w:i w:val="0"/>
        </w:rPr>
        <w:t>Nhật ký tồn kho</w:t>
      </w:r>
      <w:r>
        <w:rPr>
          <w:b w:val="0"/>
          <w:i w:val="0"/>
        </w:rPr>
        <w:t>: mọi biến động kho ghi ai đổi, vì sao, từ bao nhiêu sang bao nhiêu.</w:t>
      </w:r>
    </w:p>
    <w:p>
      <w:pPr>
        <w:pStyle w:val="ListBullet"/>
      </w:pPr>
      <w:r>
        <w:rPr>
          <w:b w:val="0"/>
          <w:i w:val="0"/>
        </w:rPr>
        <w:t>Mật khẩu hộp thư và khoá API nằm ở khu quyền riêng, không lẫn với cài đặt thường, và không bao giờ đi vào bản xuất dữ liệu dưới dạng đọc được.</w:t>
      </w:r>
    </w:p>
    <w:p>
      <w:pPr>
        <w:jc w:val="center"/>
      </w:pPr>
      <w:r>
        <w:rPr>
          <w:color w:val="AAAAAA"/>
        </w:rPr>
        <w:t>────────────────────────</w:t>
      </w:r>
    </w:p>
    <w:p>
      <w:pPr>
        <w:pStyle w:val="Heading1"/>
      </w:pPr>
      <w:r>
        <w:t>8. Nền tảng kỹ thuật</w:t>
      </w:r>
    </w:p>
    <w:p>
      <w:r>
        <w:rPr>
          <w:b w:val="0"/>
          <w:i w:val="0"/>
        </w:rPr>
        <w:t>Viết cho người kỹ thuật của doanh nghiệp; người dùng cuối bỏ qua mục này.</w:t>
      </w:r>
    </w:p>
    <w:p>
      <w:pPr>
        <w:pStyle w:val="ListBullet"/>
      </w:pPr>
      <w:r>
        <w:rPr>
          <w:b w:val="0"/>
          <w:i w:val="0"/>
        </w:rPr>
        <w:t>Web hiện đại (Next.js App Router, React), chạy được trên trình duyệt máy tính và điện thoại, không phải cài đặt gì.</w:t>
      </w:r>
    </w:p>
    <w:p>
      <w:pPr>
        <w:pStyle w:val="ListBullet"/>
      </w:pPr>
      <w:r>
        <w:rPr>
          <w:b w:val="0"/>
          <w:i w:val="0"/>
        </w:rPr>
        <w:t xml:space="preserve">Cơ sở dữ liệu PostgreSQL qua nền tảng Supabase. </w:t>
      </w:r>
      <w:r>
        <w:rPr>
          <w:b/>
          <w:i w:val="0"/>
        </w:rPr>
        <w:t>Mọi quy tắc nghiệp vụ nằm dưới cơ sở dữ liệu</w:t>
      </w:r>
      <w:r>
        <w:rPr>
          <w:b w:val="0"/>
          <w:i w:val="0"/>
        </w:rPr>
        <w:t>, không nằm ở giao diện.</w:t>
      </w:r>
    </w:p>
    <w:p>
      <w:pPr>
        <w:pStyle w:val="ListBullet"/>
      </w:pPr>
      <w:r>
        <w:rPr>
          <w:b w:val="0"/>
          <w:i w:val="0"/>
        </w:rPr>
        <w:t>Hiện trạng đo ngày 29/09/2026: 70 bảng dữ liệu, 424 quy tắc truy cập hàng (RLS), 147 hàm nghiệp vụ, 92 trigger, 242 phiên bản lược đồ.</w:t>
      </w:r>
    </w:p>
    <w:p>
      <w:pPr>
        <w:pStyle w:val="ListBullet"/>
      </w:pPr>
      <w:r>
        <w:rPr>
          <w:b/>
          <w:i w:val="0"/>
        </w:rPr>
        <w:t>Nhiều cửa hàng trên cùng một hệ</w:t>
      </w:r>
      <w:r>
        <w:rPr>
          <w:b w:val="0"/>
          <w:i w:val="0"/>
        </w:rPr>
        <w:t>: mỗi cửa hàng một tên miền con, dữ liệu tách bằng quy tắc truy cập ở tầng dữ liệu chứ không bằng câu lệnh ở tầng ứng dụng. Hai cửa hàng đang chạy trên bản hiện tại.</w:t>
      </w:r>
    </w:p>
    <w:p>
      <w:pPr>
        <w:jc w:val="center"/>
      </w:pPr>
      <w:r>
        <w:rPr>
          <w:color w:val="AAAAAA"/>
        </w:rPr>
        <w:t>────────────────────────</w:t>
      </w:r>
    </w:p>
    <w:p>
      <w:pPr>
        <w:pStyle w:val="Heading1"/>
      </w:pPr>
      <w:r>
        <w:t>9. Giới hạn đã biết của bản MVP</w:t>
      </w:r>
    </w:p>
    <w:p>
      <w:r>
        <w:rPr>
          <w:b w:val="0"/>
          <w:i w:val="0"/>
        </w:rPr>
        <w:t>Nêu thẳng, vì mỗi giới hạn dưới đây đều có thể là điều kiện quyết định của một doanh nghiệp cụ thể.</w:t>
      </w:r>
    </w:p>
    <w:p>
      <w:pPr>
        <w:pStyle w:val="ListNumber"/>
      </w:pPr>
      <w:r>
        <w:rPr>
          <w:b/>
          <w:i w:val="0"/>
        </w:rPr>
        <w:t>Hoá đơn điện tử chạy chế độ thủ công.</w:t>
      </w:r>
      <w:r>
        <w:rPr>
          <w:b w:val="0"/>
          <w:i w:val="0"/>
        </w:rPr>
        <w:t xml:space="preserve"> Mua dịch vụ của nhà cung cấp hoá đơn mới là điều kiện </w:t>
      </w:r>
      <w:r>
        <w:rPr>
          <w:b w:val="0"/>
          <w:i/>
        </w:rPr>
        <w:t>cần</w:t>
      </w:r>
      <w:r>
        <w:rPr>
          <w:b w:val="0"/>
          <w:i w:val="0"/>
        </w:rPr>
        <w:t>; bật đường ký tự động là một bước riêng, làm sau khi doanh nghiệp đã có dịch vụ và đã chạy thử. Chế độ thủ công là trạng thái hợp lệ, không phải trạng thái hỏng.</w:t>
      </w:r>
    </w:p>
    <w:p>
      <w:pPr>
        <w:pStyle w:val="ListNumber"/>
      </w:pPr>
      <w:r>
        <w:rPr>
          <w:b/>
          <w:i w:val="0"/>
        </w:rPr>
        <w:t>Chưa có kê khai thuế hộ kinh doanh</w:t>
      </w:r>
      <w:r>
        <w:rPr>
          <w:b w:val="0"/>
          <w:i w:val="0"/>
        </w:rPr>
        <w:t xml:space="preserve"> trong phần mềm. Bản MVP phục vụ doanh nghiệp nộp thuế theo chế độ công ty.</w:t>
      </w:r>
    </w:p>
    <w:p>
      <w:pPr>
        <w:pStyle w:val="ListNumber"/>
      </w:pPr>
      <w:r>
        <w:rPr>
          <w:b/>
          <w:i w:val="0"/>
        </w:rPr>
        <w:t>Chưa có ứng dụng di động riêng.</w:t>
      </w:r>
      <w:r>
        <w:rPr>
          <w:b w:val="0"/>
          <w:i w:val="0"/>
        </w:rPr>
        <w:t xml:space="preserve"> Giao diện web dùng được trên điện thoại, nhưng bán hàng tại quầy bằng máy quét mã vạch thì nên dùng máy tính.</w:t>
      </w:r>
    </w:p>
    <w:p>
      <w:pPr>
        <w:pStyle w:val="ListNumber"/>
      </w:pPr>
      <w:r>
        <w:rPr>
          <w:b/>
          <w:i w:val="0"/>
        </w:rPr>
        <w:t>Chưa có mã thống kê và gian hàng online</w:t>
      </w:r>
      <w:r>
        <w:rPr>
          <w:b w:val="0"/>
          <w:i w:val="0"/>
        </w:rPr>
        <w:t xml:space="preserve"> (danh mục đã có chỗ, chưa có màn hình đọc).</w:t>
      </w:r>
    </w:p>
    <w:p>
      <w:pPr>
        <w:pStyle w:val="ListNumber"/>
      </w:pPr>
      <w:r>
        <w:rPr>
          <w:b/>
          <w:i w:val="0"/>
        </w:rPr>
        <w:t>Kiểm kê kho theo phiếu thủ công chưa nằm trong phạm vi khoá sổ</w:t>
      </w:r>
      <w:r>
        <w:rPr>
          <w:b w:val="0"/>
          <w:i w:val="0"/>
        </w:rPr>
        <w:t xml:space="preserve"> — cố ý, vì đó là nghiệp vụ còn đang chỉnh; sẽ đưa vào khi ổn định.</w:t>
      </w:r>
    </w:p>
    <w:p>
      <w:pPr>
        <w:pStyle w:val="ListNumber"/>
      </w:pPr>
      <w:r>
        <w:rPr>
          <w:b/>
          <w:i w:val="0"/>
        </w:rPr>
        <w:t>Một địa chỉ website cho email giao dịch.</w:t>
      </w:r>
      <w:r>
        <w:rPr>
          <w:b w:val="0"/>
          <w:i w:val="0"/>
        </w:rPr>
        <w:t xml:space="preserve"> Khi một hệ phục vụ nhiều cửa hàng, link trong email xác nhận đơn đi theo địa chỉ chung; cửa hàng thứ hai trở đi cần cấu hình riêng nếu muốn link mang tên miền của mình.</w:t>
      </w:r>
    </w:p>
    <w:p>
      <w:pPr>
        <w:jc w:val="center"/>
      </w:pPr>
      <w:r>
        <w:rPr>
          <w:color w:val="AAAAAA"/>
        </w:rPr>
        <w:t>────────────────────────</w:t>
      </w:r>
    </w:p>
    <w:p>
      <w:pPr>
        <w:pStyle w:val="Heading1"/>
      </w:pPr>
      <w:r>
        <w:t>10. Sau MVP</w:t>
      </w:r>
    </w:p>
    <w:p>
      <w:r>
        <w:rPr>
          <w:b w:val="0"/>
          <w:i w:val="0"/>
        </w:rPr>
        <w:t>Theo thứ tự ưu tiên đã chốt:</w:t>
      </w:r>
    </w:p>
    <w:p>
      <w:pPr>
        <w:pStyle w:val="ListNumber"/>
      </w:pPr>
      <w:r>
        <w:rPr>
          <w:b w:val="0"/>
          <w:i w:val="0"/>
        </w:rPr>
        <w:t>Đưa phần mềm lên hạ tầng web công cộng (đang chạy tại máy chủ của doanh nghiệp) — đã có checklist triển khai kỹ thuật riêng.</w:t>
      </w:r>
    </w:p>
    <w:p>
      <w:pPr>
        <w:pStyle w:val="ListNumber"/>
      </w:pPr>
      <w:r>
        <w:rPr>
          <w:b w:val="0"/>
          <w:i w:val="0"/>
        </w:rPr>
        <w:t>Bật đường ký hoá đơn điện tử tự động sau khi doanh nghiệp có dịch vụ.</w:t>
      </w:r>
    </w:p>
    <w:p>
      <w:pPr>
        <w:pStyle w:val="ListNumber"/>
      </w:pPr>
      <w:r>
        <w:rPr>
          <w:b w:val="0"/>
          <w:i w:val="0"/>
        </w:rPr>
        <w:t>Hoàn tất tầng quản trị nền tảng nhiều khách hàng: cấp phát cửa hàng, vòng đời thuê bao, hạn mức gói.</w:t>
      </w:r>
    </w:p>
    <w:p>
      <w:pPr>
        <w:pStyle w:val="ListNumber"/>
      </w:pPr>
      <w:r>
        <w:rPr>
          <w:b w:val="0"/>
          <w:i w:val="0"/>
        </w:rPr>
        <w:t>Kê khai thuế cho hộ kinh doanh.</w:t>
      </w:r>
    </w:p>
    <w:p>
      <w:pPr>
        <w:pStyle w:val="ListNumber"/>
      </w:pPr>
      <w:r>
        <w:rPr>
          <w:b w:val="0"/>
          <w:i w:val="0"/>
        </w:rPr>
        <w:t>Mở rộng nhật ký cấu hình sang bốn nhóm danh mục còn lại (kho, ngành nghề, khoản mục chi phí, điều khoản thanh toán).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